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A0" w:rsidRDefault="00713DA0" w:rsidP="00713DA0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  <w:r>
        <w:rPr>
          <w:rFonts w:asciiTheme="minorHAnsi" w:hAnsiTheme="minorHAnsi"/>
          <w:sz w:val="32"/>
          <w:szCs w:val="32"/>
          <w:lang w:val="tr-TR"/>
        </w:rPr>
        <w:t>MOBBİG II.</w:t>
      </w:r>
    </w:p>
    <w:p w:rsidR="00713DA0" w:rsidRDefault="00713DA0" w:rsidP="00713DA0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</w:p>
    <w:p w:rsidR="00713DA0" w:rsidRDefault="00713DA0" w:rsidP="00713DA0">
      <w:pPr>
        <w:spacing w:after="0" w:line="240" w:lineRule="atLeast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Tarih ve Yer</w:t>
      </w:r>
      <w:r>
        <w:rPr>
          <w:rFonts w:asciiTheme="minorHAnsi" w:hAnsiTheme="minorHAnsi"/>
          <w:b w:val="0"/>
          <w:sz w:val="22"/>
          <w:szCs w:val="22"/>
          <w:lang w:val="tr-TR"/>
        </w:rPr>
        <w:t>: 10 Mayıs 1996, Cuma 10:00-16:00 – D.E.Ü. Mimarlık Fakültesi, İzmir</w:t>
      </w:r>
    </w:p>
    <w:p w:rsidR="00713DA0" w:rsidRDefault="00713DA0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Düzenleyen</w:t>
      </w:r>
      <w:r>
        <w:rPr>
          <w:rFonts w:asciiTheme="minorHAnsi" w:hAnsiTheme="minorHAnsi"/>
          <w:b w:val="0"/>
          <w:sz w:val="22"/>
          <w:szCs w:val="22"/>
          <w:lang w:val="tr-TR"/>
        </w:rPr>
        <w:t>: Çetin Türkçü</w:t>
      </w:r>
    </w:p>
    <w:p w:rsidR="00713DA0" w:rsidRDefault="00713DA0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Toplantı Sekreteryası</w:t>
      </w:r>
      <w:r>
        <w:rPr>
          <w:rFonts w:asciiTheme="minorHAnsi" w:hAnsiTheme="minorHAnsi"/>
          <w:b w:val="0"/>
          <w:sz w:val="22"/>
          <w:szCs w:val="22"/>
          <w:lang w:val="tr-TR"/>
        </w:rPr>
        <w:t>: Dürrin Süer</w:t>
      </w:r>
    </w:p>
    <w:p w:rsidR="00713DA0" w:rsidRDefault="00713DA0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713DA0" w:rsidRDefault="00713DA0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Katılan Kurumlar ve Temsilcileri</w:t>
      </w:r>
      <w:r>
        <w:rPr>
          <w:rFonts w:asciiTheme="minorHAnsi" w:hAnsiTheme="minorHAnsi"/>
          <w:b w:val="0"/>
          <w:sz w:val="22"/>
          <w:szCs w:val="22"/>
          <w:lang w:val="tr-TR"/>
        </w:rPr>
        <w:t>:</w:t>
      </w:r>
    </w:p>
    <w:p w:rsidR="0052625A" w:rsidRPr="0052625A" w:rsidRDefault="0052625A" w:rsidP="0052625A">
      <w:pPr>
        <w:spacing w:after="0"/>
        <w:rPr>
          <w:rFonts w:asciiTheme="minorHAnsi" w:hAnsiTheme="minorHAnsi"/>
          <w:b w:val="0"/>
          <w:i/>
          <w:sz w:val="22"/>
          <w:szCs w:val="22"/>
          <w:lang w:val="tr-TR"/>
        </w:rPr>
      </w:pPr>
      <w:r w:rsidRPr="0052625A">
        <w:rPr>
          <w:rFonts w:asciiTheme="minorHAnsi" w:hAnsiTheme="minorHAnsi"/>
          <w:b w:val="0"/>
          <w:i/>
          <w:sz w:val="22"/>
          <w:szCs w:val="22"/>
          <w:lang w:val="tr-TR"/>
        </w:rPr>
        <w:t>(10 okuldan 17 kişi katıldı.)</w:t>
      </w:r>
    </w:p>
    <w:p w:rsidR="00496F7F" w:rsidRDefault="00496F7F" w:rsidP="0052625A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Anadolu Üniversitesi  – Nuray Özsaruhan; Ruşen Yamaçlı</w:t>
      </w:r>
    </w:p>
    <w:p w:rsidR="00496F7F" w:rsidRDefault="00496F7F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Balıkesir Üniversitesi  – Bozok Özerdim</w:t>
      </w:r>
    </w:p>
    <w:p w:rsidR="00496F7F" w:rsidRDefault="00496F7F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Dicle Üniversitesi – Türker  İlter</w:t>
      </w:r>
    </w:p>
    <w:p w:rsidR="00713DA0" w:rsidRDefault="00713DA0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Doğu Akdeniz Üniversitesi (KKTC)  – Necati Şen</w:t>
      </w:r>
    </w:p>
    <w:p w:rsidR="00713DA0" w:rsidRDefault="00713DA0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Dokuz Eylül Üniversitesi  – Çetin Türkçü; Gürhan Tümer; Orcan Gündüz; Hikmet Gökmen; Dürrin Süer</w:t>
      </w:r>
    </w:p>
    <w:p w:rsidR="00713DA0" w:rsidRDefault="00713DA0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İstanbul Teknik Üniversitesi  – Mine İnceoğlu; Gül Kocaaslan; Türkan Ulusu Uraz</w:t>
      </w:r>
    </w:p>
    <w:p w:rsidR="00713DA0" w:rsidRDefault="00713DA0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İzmir</w:t>
      </w:r>
      <w:r w:rsidR="00496F7F">
        <w:rPr>
          <w:rFonts w:asciiTheme="minorHAnsi" w:hAnsiTheme="minorHAnsi"/>
          <w:b w:val="0"/>
          <w:sz w:val="22"/>
          <w:szCs w:val="22"/>
          <w:lang w:val="tr-TR"/>
        </w:rPr>
        <w:t xml:space="preserve"> Yüksek Teknoloji Üniversitesi – Ahmet </w:t>
      </w:r>
      <w:r>
        <w:rPr>
          <w:rFonts w:asciiTheme="minorHAnsi" w:hAnsiTheme="minorHAnsi"/>
          <w:b w:val="0"/>
          <w:sz w:val="22"/>
          <w:szCs w:val="22"/>
          <w:lang w:val="tr-TR"/>
        </w:rPr>
        <w:t>Eyüce</w:t>
      </w:r>
    </w:p>
    <w:p w:rsidR="00496F7F" w:rsidRDefault="00496F7F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Süleyman Demirel Üniversitesi – Veli Kara </w:t>
      </w:r>
    </w:p>
    <w:p w:rsidR="00713DA0" w:rsidRDefault="00496F7F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Uludağ Üniversitesi – Cengiz</w:t>
      </w:r>
      <w:r w:rsidR="00713DA0">
        <w:rPr>
          <w:rFonts w:asciiTheme="minorHAnsi" w:hAnsiTheme="minorHAnsi"/>
          <w:b w:val="0"/>
          <w:sz w:val="22"/>
          <w:szCs w:val="22"/>
          <w:lang w:val="tr-TR"/>
        </w:rPr>
        <w:t xml:space="preserve"> Bayülgen</w:t>
      </w:r>
    </w:p>
    <w:p w:rsidR="00713DA0" w:rsidRDefault="00713DA0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Yıldız Teknik Üniversitesi  – Rıfat Çelebi</w:t>
      </w:r>
    </w:p>
    <w:p w:rsidR="00713DA0" w:rsidRDefault="00713DA0" w:rsidP="00713DA0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713DA0" w:rsidRDefault="00713DA0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lang w:val="tr-TR"/>
        </w:rPr>
        <w:t>Toplantının Özellikleri ve Önemi</w:t>
      </w:r>
      <w:r>
        <w:rPr>
          <w:rFonts w:asciiTheme="minorHAnsi" w:hAnsiTheme="minorHAnsi"/>
          <w:b w:val="0"/>
          <w:lang w:val="tr-TR"/>
        </w:rPr>
        <w:t>:</w:t>
      </w:r>
    </w:p>
    <w:p w:rsidR="00AB7A32" w:rsidRDefault="00AB7A32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AB7A32" w:rsidRDefault="00AB7A32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 xml:space="preserve">Toplantı Gündemi: </w:t>
      </w:r>
      <w:bookmarkStart w:id="0" w:name="_GoBack"/>
      <w:bookmarkEnd w:id="0"/>
    </w:p>
    <w:p w:rsidR="00AB7A32" w:rsidRDefault="00AB7A32" w:rsidP="00AB7A32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 xml:space="preserve">1.) </w:t>
      </w:r>
      <w:r w:rsidRPr="00AB7A32">
        <w:rPr>
          <w:rFonts w:asciiTheme="minorHAnsi" w:hAnsiTheme="minorHAnsi"/>
          <w:b w:val="0"/>
          <w:lang w:val="tr-TR"/>
        </w:rPr>
        <w:t>Protokol &amp; Manifesto</w:t>
      </w:r>
    </w:p>
    <w:p w:rsidR="00AB7A32" w:rsidRPr="00AB7A32" w:rsidRDefault="00AB7A32" w:rsidP="00AB7A32">
      <w:pPr>
        <w:spacing w:after="0" w:line="240" w:lineRule="auto"/>
        <w:rPr>
          <w:rFonts w:asciiTheme="minorHAnsi" w:hAnsiTheme="minorHAnsi" w:cstheme="minorHAnsi"/>
          <w:b w:val="0"/>
          <w:lang w:val="tr-TR"/>
        </w:rPr>
      </w:pPr>
      <w:r w:rsidRPr="00AB7A32">
        <w:rPr>
          <w:rFonts w:asciiTheme="minorHAnsi" w:hAnsiTheme="minorHAnsi" w:cstheme="minorHAnsi"/>
          <w:b w:val="0"/>
          <w:lang w:val="tr-TR"/>
        </w:rPr>
        <w:t xml:space="preserve">2.)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Öğrenci</w:t>
      </w:r>
      <w:proofErr w:type="spellEnd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Seçimi</w:t>
      </w:r>
      <w:proofErr w:type="spellEnd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(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puan</w:t>
      </w:r>
      <w:proofErr w:type="spellEnd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türü</w:t>
      </w:r>
      <w:proofErr w:type="spellEnd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,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yetenek</w:t>
      </w:r>
      <w:proofErr w:type="spellEnd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sınavı</w:t>
      </w:r>
      <w:proofErr w:type="spellEnd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)</w:t>
      </w:r>
      <w:r w:rsidRPr="00AB7A32">
        <w:rPr>
          <w:rFonts w:asciiTheme="minorHAnsi" w:hAnsiTheme="minorHAnsi" w:cstheme="minorHAnsi"/>
          <w:b w:val="0"/>
          <w:color w:val="222222"/>
        </w:rPr>
        <w:br/>
      </w:r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3.</w:t>
      </w:r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)</w:t>
      </w:r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Baraj</w:t>
      </w:r>
      <w:proofErr w:type="spellEnd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veya</w:t>
      </w:r>
      <w:proofErr w:type="spellEnd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hazırlık</w:t>
      </w:r>
      <w:proofErr w:type="spellEnd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sınıfı</w:t>
      </w:r>
      <w:proofErr w:type="spellEnd"/>
      <w:r w:rsidRPr="00AB7A32">
        <w:rPr>
          <w:rFonts w:asciiTheme="minorHAnsi" w:hAnsiTheme="minorHAnsi" w:cstheme="minorHAnsi"/>
          <w:b w:val="0"/>
          <w:color w:val="222222"/>
        </w:rPr>
        <w:br/>
      </w:r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4.</w:t>
      </w:r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)</w:t>
      </w:r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5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yıllık</w:t>
      </w:r>
      <w:proofErr w:type="spellEnd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</w:t>
      </w:r>
      <w:proofErr w:type="spellStart"/>
      <w:r w:rsidRPr="00AB7A32">
        <w:rPr>
          <w:rFonts w:asciiTheme="minorHAnsi" w:hAnsiTheme="minorHAnsi" w:cstheme="minorHAnsi"/>
          <w:b w:val="0"/>
          <w:color w:val="222222"/>
          <w:shd w:val="clear" w:color="auto" w:fill="FFFFFF"/>
        </w:rPr>
        <w:t>eğitim</w:t>
      </w:r>
      <w:proofErr w:type="spellEnd"/>
    </w:p>
    <w:p w:rsidR="00A754B4" w:rsidRDefault="00A754B4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FD1741" w:rsidRDefault="005B6073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İ.T.Ü. Mimarlık Fakültesi’nde 15 Mart 1996 tarihinde yapılan toplantıd</w:t>
      </w:r>
      <w:r w:rsidR="0052625A">
        <w:rPr>
          <w:rFonts w:asciiTheme="minorHAnsi" w:hAnsiTheme="minorHAnsi"/>
          <w:b w:val="0"/>
          <w:lang w:val="tr-TR"/>
        </w:rPr>
        <w:t>a öngörüldüğü üzere,  Mimarlık Bölüm B</w:t>
      </w:r>
      <w:r>
        <w:rPr>
          <w:rFonts w:asciiTheme="minorHAnsi" w:hAnsiTheme="minorHAnsi"/>
          <w:b w:val="0"/>
          <w:lang w:val="tr-TR"/>
        </w:rPr>
        <w:t>aşkanları toplantılarının düzenli bir organizasyonu dönüşmesi amacıyla Dokuz Eylül Üniversitesi Mimarlık Bölümü tarafından önerilen protokol metni</w:t>
      </w:r>
      <w:r w:rsidR="003473E9">
        <w:rPr>
          <w:rFonts w:asciiTheme="minorHAnsi" w:hAnsiTheme="minorHAnsi"/>
          <w:b w:val="0"/>
          <w:lang w:val="tr-TR"/>
        </w:rPr>
        <w:t xml:space="preserve"> bu toplantıda  görüşüldü</w:t>
      </w:r>
      <w:r>
        <w:rPr>
          <w:rFonts w:asciiTheme="minorHAnsi" w:hAnsiTheme="minorHAnsi"/>
          <w:b w:val="0"/>
          <w:lang w:val="tr-TR"/>
        </w:rPr>
        <w:t xml:space="preserve"> ve </w:t>
      </w:r>
      <w:r w:rsidR="00D53CBE">
        <w:rPr>
          <w:rFonts w:asciiTheme="minorHAnsi" w:hAnsiTheme="minorHAnsi"/>
          <w:b w:val="0"/>
          <w:lang w:val="tr-TR"/>
        </w:rPr>
        <w:t>metin üzerinde yapılan bazı değişiklikler</w:t>
      </w:r>
      <w:r w:rsidR="00F91D4B">
        <w:rPr>
          <w:rFonts w:asciiTheme="minorHAnsi" w:hAnsiTheme="minorHAnsi"/>
          <w:b w:val="0"/>
          <w:lang w:val="tr-TR"/>
        </w:rPr>
        <w:t xml:space="preserve">le </w:t>
      </w:r>
      <w:r w:rsidR="00F91D4B" w:rsidRPr="003473E9">
        <w:rPr>
          <w:rFonts w:asciiTheme="minorHAnsi" w:hAnsiTheme="minorHAnsi"/>
          <w:b w:val="0"/>
          <w:color w:val="1F497D" w:themeColor="text2"/>
          <w:lang w:val="tr-TR"/>
        </w:rPr>
        <w:t>MOBBİG Tüzüğü</w:t>
      </w:r>
      <w:r w:rsidR="00F91D4B">
        <w:rPr>
          <w:rFonts w:asciiTheme="minorHAnsi" w:hAnsiTheme="minorHAnsi"/>
          <w:b w:val="0"/>
          <w:lang w:val="tr-TR"/>
        </w:rPr>
        <w:t xml:space="preserve"> oluşturuldu</w:t>
      </w:r>
      <w:r w:rsidR="00D53CBE">
        <w:rPr>
          <w:rFonts w:asciiTheme="minorHAnsi" w:hAnsiTheme="minorHAnsi"/>
          <w:b w:val="0"/>
          <w:lang w:val="tr-TR"/>
        </w:rPr>
        <w:t>.</w:t>
      </w:r>
    </w:p>
    <w:p w:rsidR="00D53CBE" w:rsidRDefault="00D53CBE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F91D4B" w:rsidRDefault="00D53CBE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Bir önceki gündemin ana maddesi olan eğitim süresinin 5 yıla çıkarılma olasılı</w:t>
      </w:r>
      <w:r w:rsidR="00F91D4B">
        <w:rPr>
          <w:rFonts w:asciiTheme="minorHAnsi" w:hAnsiTheme="minorHAnsi"/>
          <w:b w:val="0"/>
          <w:lang w:val="tr-TR"/>
        </w:rPr>
        <w:t>ğı yine öncelikle ele alındı</w:t>
      </w:r>
      <w:r>
        <w:rPr>
          <w:rFonts w:asciiTheme="minorHAnsi" w:hAnsiTheme="minorHAnsi"/>
          <w:b w:val="0"/>
          <w:lang w:val="tr-TR"/>
        </w:rPr>
        <w:t>. Özellikle kültür derslerinin yetersiz olması</w:t>
      </w:r>
      <w:r w:rsidR="00F91D4B">
        <w:rPr>
          <w:rFonts w:asciiTheme="minorHAnsi" w:hAnsiTheme="minorHAnsi"/>
          <w:b w:val="0"/>
          <w:lang w:val="tr-TR"/>
        </w:rPr>
        <w:t xml:space="preserve">, ayrıca </w:t>
      </w:r>
      <w:r>
        <w:rPr>
          <w:rFonts w:asciiTheme="minorHAnsi" w:hAnsiTheme="minorHAnsi"/>
          <w:b w:val="0"/>
          <w:lang w:val="tr-TR"/>
        </w:rPr>
        <w:t xml:space="preserve">yurtdışı lisansüstü kayıtlarında </w:t>
      </w:r>
      <w:r w:rsidR="00F91D4B">
        <w:rPr>
          <w:rFonts w:asciiTheme="minorHAnsi" w:hAnsiTheme="minorHAnsi"/>
          <w:b w:val="0"/>
          <w:lang w:val="tr-TR"/>
        </w:rPr>
        <w:t xml:space="preserve">kredi eksikliğinin yarattığı sorunlar nedeniyle, 5 yıl sürenin, kesinleştiği durumda, tüm bölümler için uygulanması görüşü oybirliği ile benimsendi. Her bölümün kendine özgü özellikleri oluşturması ve geliştirmesi üzerinde </w:t>
      </w:r>
      <w:r w:rsidR="003473E9">
        <w:rPr>
          <w:rFonts w:asciiTheme="minorHAnsi" w:hAnsiTheme="minorHAnsi"/>
          <w:b w:val="0"/>
          <w:lang w:val="tr-TR"/>
        </w:rPr>
        <w:t>önemle duruldu. Yeni açılacak mimarlık okulları için de, mimarlık bölüm başkanlıklarından görüş alınması için girişimde bulunulmasına karar verildi.</w:t>
      </w:r>
      <w:r w:rsidR="00F91D4B">
        <w:rPr>
          <w:rFonts w:asciiTheme="minorHAnsi" w:hAnsiTheme="minorHAnsi"/>
          <w:b w:val="0"/>
          <w:lang w:val="tr-TR"/>
        </w:rPr>
        <w:t xml:space="preserve"> </w:t>
      </w:r>
    </w:p>
    <w:p w:rsidR="00A754B4" w:rsidRDefault="00A754B4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A754B4" w:rsidRPr="0052625A" w:rsidRDefault="00A754B4" w:rsidP="00A754B4">
      <w:pPr>
        <w:rPr>
          <w:rFonts w:asciiTheme="minorHAnsi" w:hAnsiTheme="minorHAnsi"/>
          <w:b w:val="0"/>
          <w:lang w:val="tr-TR"/>
        </w:rPr>
      </w:pPr>
      <w:r w:rsidRPr="0052625A">
        <w:rPr>
          <w:rFonts w:asciiTheme="minorHAnsi" w:hAnsiTheme="minorHAnsi"/>
          <w:b w:val="0"/>
          <w:lang w:val="tr-TR"/>
        </w:rPr>
        <w:t>- Toplantıların düzenli bir organizasyona dönüşmesi amacı ile önerilen protokol</w:t>
      </w:r>
      <w:r w:rsidR="0052625A" w:rsidRPr="0052625A">
        <w:rPr>
          <w:rFonts w:asciiTheme="minorHAnsi" w:hAnsiTheme="minorHAnsi"/>
          <w:b w:val="0"/>
          <w:lang w:val="tr-TR"/>
        </w:rPr>
        <w:t xml:space="preserve"> (</w:t>
      </w:r>
      <w:r w:rsidR="0052625A" w:rsidRPr="0052625A">
        <w:rPr>
          <w:rFonts w:asciiTheme="minorHAnsi" w:hAnsiTheme="minorHAnsi"/>
          <w:b w:val="0"/>
          <w:color w:val="1F497D" w:themeColor="text2"/>
          <w:lang w:val="tr-TR"/>
        </w:rPr>
        <w:t>MOBBİG Tüzüğü</w:t>
      </w:r>
      <w:r w:rsidR="0052625A" w:rsidRPr="0052625A">
        <w:rPr>
          <w:rFonts w:asciiTheme="minorHAnsi" w:hAnsiTheme="minorHAnsi"/>
          <w:b w:val="0"/>
          <w:lang w:val="tr-TR"/>
        </w:rPr>
        <w:t>)</w:t>
      </w:r>
      <w:r w:rsidRPr="0052625A">
        <w:rPr>
          <w:rFonts w:asciiTheme="minorHAnsi" w:hAnsiTheme="minorHAnsi"/>
          <w:b w:val="0"/>
          <w:lang w:val="tr-TR"/>
        </w:rPr>
        <w:t xml:space="preserve"> onaylandı.(*)</w:t>
      </w:r>
    </w:p>
    <w:p w:rsidR="00A754B4" w:rsidRPr="0052625A" w:rsidRDefault="00A754B4" w:rsidP="00A754B4">
      <w:pPr>
        <w:rPr>
          <w:rFonts w:asciiTheme="minorHAnsi" w:hAnsiTheme="minorHAnsi"/>
          <w:b w:val="0"/>
          <w:lang w:val="tr-TR"/>
        </w:rPr>
      </w:pPr>
      <w:r w:rsidRPr="0052625A">
        <w:rPr>
          <w:rFonts w:asciiTheme="minorHAnsi" w:hAnsiTheme="minorHAnsi"/>
          <w:b w:val="0"/>
          <w:lang w:val="tr-TR"/>
        </w:rPr>
        <w:t>- Beş yıllık eğitim diğer maddelerden önce tartışmaya açıldı. Gerekliliği tartışıldı.</w:t>
      </w:r>
    </w:p>
    <w:p w:rsidR="00A754B4" w:rsidRPr="0052625A" w:rsidRDefault="00A754B4" w:rsidP="00A754B4">
      <w:pPr>
        <w:rPr>
          <w:rFonts w:asciiTheme="minorHAnsi" w:hAnsiTheme="minorHAnsi"/>
          <w:b w:val="0"/>
          <w:lang w:val="tr-TR"/>
        </w:rPr>
      </w:pPr>
      <w:r w:rsidRPr="0052625A">
        <w:rPr>
          <w:rFonts w:asciiTheme="minorHAnsi" w:hAnsiTheme="minorHAnsi"/>
          <w:b w:val="0"/>
          <w:lang w:val="tr-TR"/>
        </w:rPr>
        <w:t>- Mimarlık eğitiminde kültür derslerinin yetersizliği belirtildi.</w:t>
      </w:r>
    </w:p>
    <w:p w:rsidR="00A754B4" w:rsidRPr="0052625A" w:rsidRDefault="00A754B4" w:rsidP="00A754B4">
      <w:pPr>
        <w:rPr>
          <w:rFonts w:asciiTheme="minorHAnsi" w:hAnsiTheme="minorHAnsi"/>
          <w:b w:val="0"/>
          <w:lang w:val="tr-TR"/>
        </w:rPr>
      </w:pPr>
      <w:r w:rsidRPr="0052625A">
        <w:rPr>
          <w:rFonts w:asciiTheme="minorHAnsi" w:hAnsiTheme="minorHAnsi"/>
          <w:b w:val="0"/>
          <w:lang w:val="tr-TR"/>
        </w:rPr>
        <w:lastRenderedPageBreak/>
        <w:t>- Akreditasyon amacı ile, yabancı ülke okulları ile program ve kredi birliğinin sağlanması, lisansüstü eğitime gidenlerin sıkıntıları üzerinde duruldu.</w:t>
      </w:r>
    </w:p>
    <w:p w:rsidR="00A754B4" w:rsidRPr="0052625A" w:rsidRDefault="00A754B4" w:rsidP="00A754B4">
      <w:pPr>
        <w:rPr>
          <w:rFonts w:asciiTheme="minorHAnsi" w:hAnsiTheme="minorHAnsi"/>
          <w:b w:val="0"/>
          <w:lang w:val="tr-TR"/>
        </w:rPr>
      </w:pPr>
      <w:r w:rsidRPr="0052625A">
        <w:rPr>
          <w:rFonts w:asciiTheme="minorHAnsi" w:hAnsiTheme="minorHAnsi"/>
          <w:b w:val="0"/>
          <w:lang w:val="tr-TR"/>
        </w:rPr>
        <w:t>- Eğitimin 5 yıla çıkması durumunda bunun tüm okullara uygulanması benimsendi. Beş yıllık eğitimin nasıl olması gerektiği yönünde görüşler belirtildi:</w:t>
      </w:r>
    </w:p>
    <w:p w:rsidR="00A754B4" w:rsidRPr="0052625A" w:rsidRDefault="00A754B4" w:rsidP="00A754B4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52625A">
        <w:rPr>
          <w:rFonts w:asciiTheme="minorHAnsi" w:hAnsiTheme="minorHAnsi"/>
          <w:b w:val="0"/>
          <w:lang w:val="tr-TR"/>
        </w:rPr>
        <w:t>Her bölümün kendine özgü özellikleri olması;</w:t>
      </w:r>
    </w:p>
    <w:p w:rsidR="00A754B4" w:rsidRDefault="00A754B4" w:rsidP="00A754B4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52625A">
        <w:rPr>
          <w:rFonts w:asciiTheme="minorHAnsi" w:hAnsiTheme="minorHAnsi"/>
          <w:b w:val="0"/>
          <w:lang w:val="tr-TR"/>
        </w:rPr>
        <w:t>Yapı, tasarım, restorasyon/koruma, planlama içerikli paket programların geliştirilmesi.</w:t>
      </w:r>
    </w:p>
    <w:p w:rsidR="0052625A" w:rsidRPr="0052625A" w:rsidRDefault="0052625A" w:rsidP="0052625A">
      <w:pPr>
        <w:spacing w:after="0" w:line="240" w:lineRule="auto"/>
        <w:ind w:left="1080"/>
        <w:rPr>
          <w:rFonts w:asciiTheme="minorHAnsi" w:hAnsiTheme="minorHAnsi"/>
          <w:b w:val="0"/>
          <w:lang w:val="tr-TR"/>
        </w:rPr>
      </w:pPr>
    </w:p>
    <w:p w:rsidR="00A754B4" w:rsidRPr="0052625A" w:rsidRDefault="00A754B4" w:rsidP="00A754B4">
      <w:pPr>
        <w:rPr>
          <w:rFonts w:asciiTheme="minorHAnsi" w:hAnsiTheme="minorHAnsi"/>
          <w:b w:val="0"/>
          <w:lang w:val="tr-TR"/>
        </w:rPr>
      </w:pPr>
      <w:r w:rsidRPr="0052625A">
        <w:rPr>
          <w:rFonts w:asciiTheme="minorHAnsi" w:hAnsiTheme="minorHAnsi"/>
          <w:b w:val="0"/>
          <w:lang w:val="tr-TR"/>
        </w:rPr>
        <w:t>- Mimarlık öğrencilerinin seçilmesinde nasıl bir yol izlenmesi gerektiği tartışıldı. Puan türü, merkezi yetenek sınavı, gibi.</w:t>
      </w:r>
    </w:p>
    <w:p w:rsidR="00A754B4" w:rsidRPr="0052625A" w:rsidRDefault="00A754B4" w:rsidP="00A754B4">
      <w:pPr>
        <w:rPr>
          <w:rFonts w:asciiTheme="minorHAnsi" w:hAnsiTheme="minorHAnsi"/>
          <w:b w:val="0"/>
          <w:lang w:val="tr-TR"/>
        </w:rPr>
      </w:pPr>
      <w:r w:rsidRPr="0052625A">
        <w:rPr>
          <w:rFonts w:asciiTheme="minorHAnsi" w:hAnsiTheme="minorHAnsi"/>
          <w:b w:val="0"/>
          <w:lang w:val="tr-TR"/>
        </w:rPr>
        <w:t>- Yeni mimarlık okulları açılması; baraj/hazırlık sınıfı; yatay geçiş konuları tartışıldı.</w:t>
      </w:r>
    </w:p>
    <w:p w:rsidR="00A754B4" w:rsidRPr="0052625A" w:rsidRDefault="00A754B4" w:rsidP="00A754B4">
      <w:pPr>
        <w:rPr>
          <w:rFonts w:asciiTheme="minorHAnsi" w:hAnsiTheme="minorHAnsi"/>
          <w:b w:val="0"/>
          <w:lang w:val="tr-TR"/>
        </w:rPr>
      </w:pPr>
      <w:r w:rsidRPr="0052625A">
        <w:rPr>
          <w:rFonts w:asciiTheme="minorHAnsi" w:hAnsiTheme="minorHAnsi"/>
          <w:b w:val="0"/>
          <w:lang w:val="tr-TR"/>
        </w:rPr>
        <w:t>- Kararların YÖK’e ve ilgili kurumlara gönderilmesine karar verildi.</w:t>
      </w:r>
    </w:p>
    <w:p w:rsidR="00F11DA2" w:rsidRPr="0052625A" w:rsidRDefault="00F11DA2" w:rsidP="00A754B4">
      <w:pPr>
        <w:rPr>
          <w:rFonts w:asciiTheme="minorHAnsi" w:hAnsiTheme="minorHAnsi"/>
          <w:b w:val="0"/>
          <w:lang w:val="tr-TR"/>
        </w:rPr>
      </w:pPr>
    </w:p>
    <w:p w:rsidR="00F11DA2" w:rsidRPr="00F11DA2" w:rsidRDefault="00F11DA2" w:rsidP="00D8032A">
      <w:pPr>
        <w:spacing w:after="0"/>
        <w:rPr>
          <w:rFonts w:asciiTheme="minorHAnsi" w:hAnsiTheme="minorHAnsi"/>
          <w:sz w:val="22"/>
          <w:szCs w:val="22"/>
          <w:lang w:val="tr-TR"/>
        </w:rPr>
      </w:pPr>
      <w:r w:rsidRPr="00F11DA2">
        <w:rPr>
          <w:rFonts w:asciiTheme="minorHAnsi" w:hAnsiTheme="minorHAnsi"/>
          <w:sz w:val="22"/>
          <w:szCs w:val="22"/>
          <w:lang w:val="tr-TR"/>
        </w:rPr>
        <w:t xml:space="preserve">(*) </w:t>
      </w:r>
      <w:r w:rsidRPr="00F11DA2">
        <w:rPr>
          <w:rFonts w:asciiTheme="minorHAnsi" w:hAnsiTheme="minorHAnsi"/>
          <w:bCs/>
          <w:sz w:val="22"/>
          <w:szCs w:val="22"/>
          <w:lang w:val="tr-TR"/>
        </w:rPr>
        <w:t>MOBBİG – Mimarlık Okulları Bölüm Başkanları İletişim Grubu – Tüzük: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bCs/>
          <w:sz w:val="22"/>
          <w:szCs w:val="22"/>
          <w:lang w:val="tr-TR"/>
        </w:rPr>
        <w:t>Amaç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:          Mimarlık eğitimi yapan kurumlar arasında diyalog ortamının oluşturulması, 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                 iletişimin sağlanmasıdır.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bCs/>
          <w:sz w:val="22"/>
          <w:szCs w:val="22"/>
          <w:lang w:val="tr-TR"/>
        </w:rPr>
        <w:t>Niteliği: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   Bir karar organı olmaktan çok, bir danışma organıdır.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bCs/>
          <w:sz w:val="22"/>
          <w:szCs w:val="22"/>
          <w:lang w:val="tr-TR"/>
        </w:rPr>
        <w:t>Katılımcılar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: Mimarlık Bölüm Başkanları ve/veya yardımcıları, veya önerilen temsilcilerdir. 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                 Görev süresi bitmiş olan bölüm başkanı, toplantıya yeni başkanla birlikte 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                 katılır. Çeşitli konular için oluşturulan komisyonlar da toplantılara davet 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                 edilebilir.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bCs/>
          <w:sz w:val="22"/>
          <w:szCs w:val="22"/>
          <w:lang w:val="tr-TR"/>
        </w:rPr>
        <w:t>Süresi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:         </w:t>
      </w:r>
      <w:r w:rsidR="00D8032A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>Yılda en az iki kez toplanır.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bCs/>
          <w:sz w:val="22"/>
          <w:szCs w:val="22"/>
          <w:lang w:val="tr-TR"/>
        </w:rPr>
        <w:t>Yeri: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       </w:t>
      </w:r>
      <w:r w:rsidR="00D8032A">
        <w:rPr>
          <w:rFonts w:asciiTheme="minorHAnsi" w:hAnsiTheme="minorHAnsi"/>
          <w:b w:val="0"/>
          <w:sz w:val="22"/>
          <w:szCs w:val="22"/>
          <w:lang w:val="tr-TR"/>
        </w:rPr>
        <w:t xml:space="preserve">  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>Her toplantı farklı bölümlerin evsahipliğinde yapılır.</w:t>
      </w:r>
    </w:p>
    <w:p w:rsidR="00F11DA2" w:rsidRPr="00F11DA2" w:rsidRDefault="00F11DA2" w:rsidP="00D8032A">
      <w:pPr>
        <w:pStyle w:val="Balk3"/>
        <w:rPr>
          <w:rFonts w:asciiTheme="minorHAnsi" w:hAnsiTheme="minorHAnsi"/>
          <w:b w:val="0"/>
          <w:szCs w:val="22"/>
        </w:rPr>
      </w:pPr>
      <w:r w:rsidRPr="00F11DA2">
        <w:rPr>
          <w:rFonts w:asciiTheme="minorHAnsi" w:hAnsiTheme="minorHAnsi"/>
          <w:b w:val="0"/>
          <w:szCs w:val="22"/>
        </w:rPr>
        <w:t xml:space="preserve">Gündemin 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bCs/>
          <w:sz w:val="22"/>
          <w:szCs w:val="22"/>
          <w:lang w:val="tr-TR"/>
        </w:rPr>
        <w:t>saptanması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:Toplantının yapıldığı bölüm tarafından  yürütülür. Toplantıda alınan kararlar o 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                 bölümün sekreteryası tarafından diğer bölümlere iletilir. Ayrıca uygun görülen 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               </w:t>
      </w:r>
      <w:r w:rsidR="00D8032A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kişi ve kurumlara toplantı sonuçları bir rapor halinde ulaştırılır.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bCs/>
          <w:sz w:val="22"/>
          <w:szCs w:val="22"/>
          <w:lang w:val="tr-TR"/>
        </w:rPr>
        <w:t>Başkan: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</w:t>
      </w:r>
      <w:r w:rsidR="00D8032A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Toplantının yapıldığı bölümün başkanı, toplantı başkanıdır.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bCs/>
          <w:sz w:val="22"/>
          <w:szCs w:val="22"/>
          <w:lang w:val="tr-TR"/>
        </w:rPr>
        <w:t>Etkinlikleri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>:</w:t>
      </w:r>
      <w:r w:rsidR="00D8032A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Bülten, yurtdışı ilişkiler, yaz okulları, v.b. Tüm bu etkinlikler için alt gruplar da 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                 oluşturulabilir.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bCs/>
          <w:sz w:val="22"/>
          <w:szCs w:val="22"/>
          <w:lang w:val="tr-TR"/>
        </w:rPr>
        <w:t>Yürürlük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:     </w:t>
      </w:r>
      <w:r w:rsidR="00D8032A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Bu yönerge 10 Mayıs 1996’da İzmir Dokuz Eylül Üniversitesi’nde yapılan 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                </w:t>
      </w:r>
      <w:r w:rsidR="00D8032A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MOBBİG 02 toplantısında, katılan tüm bölüm başkanları tarafından </w:t>
      </w:r>
    </w:p>
    <w:p w:rsidR="00F11DA2" w:rsidRPr="00F11DA2" w:rsidRDefault="00F11DA2" w:rsidP="00D8032A">
      <w:pPr>
        <w:spacing w:after="0"/>
        <w:rPr>
          <w:rFonts w:asciiTheme="minorHAnsi" w:hAnsiTheme="minorHAnsi"/>
          <w:b w:val="0"/>
          <w:sz w:val="22"/>
          <w:szCs w:val="22"/>
          <w:lang w:val="tr-TR"/>
        </w:rPr>
      </w:pP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                 </w:t>
      </w:r>
      <w:r w:rsidR="00D8032A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F11DA2">
        <w:rPr>
          <w:rFonts w:asciiTheme="minorHAnsi" w:hAnsiTheme="minorHAnsi"/>
          <w:b w:val="0"/>
          <w:sz w:val="22"/>
          <w:szCs w:val="22"/>
          <w:lang w:val="tr-TR"/>
        </w:rPr>
        <w:t xml:space="preserve">  onaylanmıştır.</w:t>
      </w:r>
    </w:p>
    <w:p w:rsidR="00F11DA2" w:rsidRDefault="00F11DA2" w:rsidP="00D8032A">
      <w:pPr>
        <w:spacing w:after="0"/>
        <w:rPr>
          <w:sz w:val="22"/>
          <w:lang w:val="tr-TR"/>
        </w:rPr>
      </w:pPr>
    </w:p>
    <w:p w:rsidR="00F11DA2" w:rsidRDefault="00F11DA2" w:rsidP="00F11DA2">
      <w:pPr>
        <w:rPr>
          <w:lang w:val="tr-TR"/>
        </w:rPr>
      </w:pPr>
    </w:p>
    <w:p w:rsidR="00A754B4" w:rsidRDefault="00A754B4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FE3AEC" w:rsidRDefault="00FE3AEC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FE3AEC" w:rsidRDefault="00FE3AEC" w:rsidP="00FE3AEC">
      <w:pPr>
        <w:pStyle w:val="ListeParagraf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Öncesi Yazışmalar</w:t>
      </w:r>
    </w:p>
    <w:p w:rsidR="00FE3AEC" w:rsidRDefault="00FE3AEC" w:rsidP="00FE3AEC">
      <w:pPr>
        <w:pStyle w:val="ListeParagraf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Toplantı Programı</w:t>
      </w:r>
    </w:p>
    <w:p w:rsidR="00FE3AEC" w:rsidRDefault="00FE3AEC" w:rsidP="00FE3AEC">
      <w:pPr>
        <w:pStyle w:val="ListeParagraf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color w:val="1F497D" w:themeColor="text2"/>
          <w:lang w:val="tr-TR"/>
        </w:rPr>
      </w:pPr>
      <w:r>
        <w:rPr>
          <w:rFonts w:asciiTheme="minorHAnsi" w:hAnsiTheme="minorHAnsi"/>
          <w:b w:val="0"/>
          <w:color w:val="1F497D" w:themeColor="text2"/>
          <w:lang w:val="tr-TR"/>
        </w:rPr>
        <w:t>Katılım Listesi</w:t>
      </w:r>
    </w:p>
    <w:p w:rsidR="00FE3AEC" w:rsidRDefault="00FE3AEC" w:rsidP="00FE3AEC">
      <w:pPr>
        <w:pStyle w:val="ListeParagraf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lastRenderedPageBreak/>
        <w:t xml:space="preserve">Sunuşlar </w:t>
      </w:r>
    </w:p>
    <w:p w:rsidR="00FE3AEC" w:rsidRDefault="00FE3AEC" w:rsidP="00FE3AEC">
      <w:pPr>
        <w:pStyle w:val="ListeParagraf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Toplantı Tutanakları</w:t>
      </w:r>
    </w:p>
    <w:p w:rsidR="00FE3AEC" w:rsidRDefault="00FE3AEC" w:rsidP="00FE3AEC">
      <w:pPr>
        <w:pStyle w:val="ListeParagraf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color w:val="1F497D" w:themeColor="text2"/>
          <w:lang w:val="tr-TR"/>
        </w:rPr>
      </w:pPr>
      <w:r>
        <w:rPr>
          <w:rFonts w:asciiTheme="minorHAnsi" w:hAnsiTheme="minorHAnsi"/>
          <w:b w:val="0"/>
          <w:color w:val="1F497D" w:themeColor="text2"/>
          <w:lang w:val="tr-TR"/>
        </w:rPr>
        <w:t>Sonuç Raporu / Bildirgesi</w:t>
      </w:r>
    </w:p>
    <w:p w:rsidR="00FE3AEC" w:rsidRDefault="00FE3AEC" w:rsidP="00FE3AEC">
      <w:pPr>
        <w:pStyle w:val="ListeParagraf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Toplantı Ortak Girişimi</w:t>
      </w:r>
    </w:p>
    <w:p w:rsidR="00FE3AEC" w:rsidRDefault="00FE3AEC" w:rsidP="00FE3AEC">
      <w:pPr>
        <w:pStyle w:val="ListeParagraf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Etkinlikler</w:t>
      </w:r>
    </w:p>
    <w:p w:rsidR="00FE3AEC" w:rsidRDefault="00FE3AEC" w:rsidP="00FE3AEC">
      <w:pPr>
        <w:pStyle w:val="ListeParagraf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Görsel Belgeler</w:t>
      </w:r>
    </w:p>
    <w:p w:rsidR="00FE3AEC" w:rsidRDefault="00FE3AEC" w:rsidP="00FE3AEC">
      <w:pPr>
        <w:pStyle w:val="ListeParagraf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Toplantı Sonrası Yazışmalar</w:t>
      </w:r>
    </w:p>
    <w:p w:rsidR="00FE3AEC" w:rsidRDefault="00FE3AEC" w:rsidP="00FE3AEC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FE3AEC" w:rsidRDefault="00FE3AEC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F91D4B" w:rsidRDefault="00F91D4B" w:rsidP="00713DA0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sectPr w:rsidR="00F91D4B" w:rsidSect="00A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19D3"/>
    <w:multiLevelType w:val="hybridMultilevel"/>
    <w:tmpl w:val="6E4836C8"/>
    <w:lvl w:ilvl="0" w:tplc="9992EF0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332A0"/>
    <w:multiLevelType w:val="hybridMultilevel"/>
    <w:tmpl w:val="A04A9D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B6A02"/>
    <w:multiLevelType w:val="hybridMultilevel"/>
    <w:tmpl w:val="2AC65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13DA0"/>
    <w:rsid w:val="00086BFB"/>
    <w:rsid w:val="003473E9"/>
    <w:rsid w:val="00452895"/>
    <w:rsid w:val="00453084"/>
    <w:rsid w:val="00496F7F"/>
    <w:rsid w:val="0052625A"/>
    <w:rsid w:val="005B6073"/>
    <w:rsid w:val="00713DA0"/>
    <w:rsid w:val="00A754B4"/>
    <w:rsid w:val="00A958BA"/>
    <w:rsid w:val="00AB7A32"/>
    <w:rsid w:val="00B21F95"/>
    <w:rsid w:val="00D53CBE"/>
    <w:rsid w:val="00D8032A"/>
    <w:rsid w:val="00F11DA2"/>
    <w:rsid w:val="00F91D4B"/>
    <w:rsid w:val="00FC0991"/>
    <w:rsid w:val="00FD1741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FFAD"/>
  <w15:docId w15:val="{FD61AB07-2FE2-4F54-9449-CFDA7160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DA0"/>
  </w:style>
  <w:style w:type="paragraph" w:styleId="Balk3">
    <w:name w:val="heading 3"/>
    <w:basedOn w:val="Normal"/>
    <w:next w:val="Normal"/>
    <w:link w:val="Balk3Char"/>
    <w:qFormat/>
    <w:rsid w:val="00F11D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3DA0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F11DA2"/>
    <w:rPr>
      <w:rFonts w:ascii="Times New Roman" w:eastAsia="Times New Roman" w:hAnsi="Times New Roman" w:cs="Times New Roman"/>
      <w:bCs/>
      <w:sz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arch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onur</dc:creator>
  <cp:keywords/>
  <dc:description/>
  <cp:lastModifiedBy>Admin</cp:lastModifiedBy>
  <cp:revision>9</cp:revision>
  <dcterms:created xsi:type="dcterms:W3CDTF">2011-04-21T09:42:00Z</dcterms:created>
  <dcterms:modified xsi:type="dcterms:W3CDTF">2020-06-13T13:59:00Z</dcterms:modified>
</cp:coreProperties>
</file>